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43D4" w14:textId="1A3B81F3" w:rsidR="008B57DF" w:rsidRDefault="008B57DF" w:rsidP="008B57DF">
      <w:pPr>
        <w:jc w:val="center"/>
        <w:rPr>
          <w:rFonts w:ascii="gobCL" w:hAnsi="gobCL"/>
          <w:b/>
          <w:bCs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sz w:val="21"/>
          <w:szCs w:val="21"/>
          <w:shd w:val="clear" w:color="auto" w:fill="FFFFFF"/>
        </w:rPr>
        <w:t>Comentarios y Observaciones Ingreso de Información Traspaso de Gobierno</w:t>
      </w:r>
    </w:p>
    <w:p w14:paraId="77F4F761" w14:textId="4BB921F1" w:rsidR="008B57DF" w:rsidRDefault="008B57DF" w:rsidP="008B57DF">
      <w:pPr>
        <w:jc w:val="center"/>
        <w:rPr>
          <w:rFonts w:ascii="gobCL" w:hAnsi="gobCL"/>
          <w:b/>
          <w:bCs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sz w:val="21"/>
          <w:szCs w:val="21"/>
          <w:shd w:val="clear" w:color="auto" w:fill="FFFFFF"/>
        </w:rPr>
        <w:t>Junta Nacional de Auxilio Escolar y Becas</w:t>
      </w:r>
    </w:p>
    <w:p w14:paraId="4EC8A4FF" w14:textId="440AB52C" w:rsidR="00D05F2E" w:rsidRPr="00723008" w:rsidRDefault="00D05F2E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1. Área programática y de gestión</w:t>
      </w:r>
    </w:p>
    <w:p w14:paraId="340D484A" w14:textId="0AF75D72" w:rsidR="004950B4" w:rsidRPr="00723008" w:rsidRDefault="00001AC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k) Presupuesto institucional aprobado para el año 2022. (Máx C: 512 caracteres)</w:t>
      </w:r>
    </w:p>
    <w:p w14:paraId="30E6E83D" w14:textId="2E0C230C" w:rsidR="00001AC8" w:rsidRDefault="00001AC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La Junta Nacional de Auxilio Escolar y Becas cuenta con tres Programas Presupuestario, correspondiente a: Programa 01: Junta Nacional de Auxilio Escolar y Becas; Programa 02: Salud Escolar y Programa 03: Becas y Asistencialidad Estudiantil. Si bien en el apartado se informa el consolidado institucional; a continuación, se detallan los links de cada Programa Presupuestario: </w:t>
      </w:r>
    </w:p>
    <w:p w14:paraId="21924F02" w14:textId="45C8F1BA" w:rsidR="00001AC8" w:rsidRDefault="00001AC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Programa 01: </w:t>
      </w:r>
      <w:hyperlink r:id="rId7" w:history="1">
        <w:r w:rsidRPr="00E42C58">
          <w:rPr>
            <w:rStyle w:val="Hipervnculo"/>
            <w:rFonts w:ascii="gobCL" w:hAnsi="gobCL"/>
            <w:b/>
            <w:bCs/>
            <w:sz w:val="21"/>
            <w:szCs w:val="21"/>
            <w:shd w:val="clear" w:color="auto" w:fill="FFFFFF"/>
          </w:rPr>
          <w:t>http://www.dipres.gob.cl/597/articles-257189_doc_pdf.pdf</w:t>
        </w:r>
      </w:hyperlink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 </w:t>
      </w:r>
    </w:p>
    <w:p w14:paraId="337A2DAB" w14:textId="6C153B1A" w:rsidR="00001AC8" w:rsidRDefault="00001AC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Programa 02: </w:t>
      </w:r>
      <w:hyperlink r:id="rId8" w:history="1">
        <w:r w:rsidRPr="00E42C58">
          <w:rPr>
            <w:rStyle w:val="Hipervnculo"/>
            <w:rFonts w:ascii="gobCL" w:hAnsi="gobCL"/>
            <w:b/>
            <w:bCs/>
            <w:sz w:val="21"/>
            <w:szCs w:val="21"/>
            <w:shd w:val="clear" w:color="auto" w:fill="FFFFFF"/>
          </w:rPr>
          <w:t>http://www.dipres.cl/597/articles-257190_doc_pdf.pdf</w:t>
        </w:r>
      </w:hyperlink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 </w:t>
      </w:r>
    </w:p>
    <w:p w14:paraId="0D0F5773" w14:textId="458BF27D" w:rsidR="00001AC8" w:rsidRDefault="00001AC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Programa 03: </w:t>
      </w:r>
      <w:hyperlink r:id="rId9" w:history="1">
        <w:r w:rsidRPr="00E42C58">
          <w:rPr>
            <w:rStyle w:val="Hipervnculo"/>
            <w:rFonts w:ascii="gobCL" w:hAnsi="gobCL"/>
            <w:b/>
            <w:bCs/>
            <w:sz w:val="21"/>
            <w:szCs w:val="21"/>
            <w:shd w:val="clear" w:color="auto" w:fill="FFFFFF"/>
          </w:rPr>
          <w:t>http://www.dipres.cl/597/articles-257191_doc_pdf.pdf</w:t>
        </w:r>
      </w:hyperlink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 </w:t>
      </w:r>
    </w:p>
    <w:p w14:paraId="1F1DF901" w14:textId="2F00A528" w:rsidR="00723008" w:rsidRPr="00723008" w:rsidRDefault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3. Área Financiera</w:t>
      </w:r>
    </w:p>
    <w:p w14:paraId="46CCAE05" w14:textId="2D9A305C" w:rsidR="00723008" w:rsidRPr="00723008" w:rsidRDefault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b) Conciliaciones bancarias al 28 de febrero de 2022.</w:t>
      </w:r>
    </w:p>
    <w:p w14:paraId="6678DBDD" w14:textId="77777777" w:rsidR="004A3BF9" w:rsidRDefault="0072300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Se carga planilla “</w:t>
      </w:r>
      <w:r w:rsidR="00406E62" w:rsidRPr="00406E62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Conciliaciones bancarias al 28 de febrero de 2022 JUNAEB</w:t>
      </w:r>
      <w:r w:rsidR="00406E62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..xlsx</w:t>
      </w: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” en el punto “Archivo/s” del ítem </w:t>
      </w:r>
      <w:r w:rsidRPr="003008D5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10. Otros antecedentes y Acta de Cierre</w:t>
      </w: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.</w:t>
      </w:r>
      <w:r w:rsidR="004A3BF9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 </w:t>
      </w:r>
    </w:p>
    <w:p w14:paraId="114F4F87" w14:textId="452C9F60" w:rsidR="00723008" w:rsidRPr="00723008" w:rsidRDefault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c) Nómina de los activos financieros, señalando los documentos por cobrar, inversiones financieras, acciones, entre otros al 28 de febrero de 2022.</w:t>
      </w:r>
    </w:p>
    <w:p w14:paraId="213D8B48" w14:textId="77777777" w:rsidR="00723008" w:rsidRDefault="00723008" w:rsidP="0072300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No aplica para la institución.</w:t>
      </w:r>
    </w:p>
    <w:p w14:paraId="564892B2" w14:textId="5C5ED543" w:rsidR="00723008" w:rsidRPr="00723008" w:rsidRDefault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d) El estado de los fondos internos a rendir, indicando el nombre del cuentadante, tipo de fondo interno a rendir, monto autorizado, monto gastado y detalle de lo gastado cuando corresponda.</w:t>
      </w:r>
    </w:p>
    <w:p w14:paraId="3D284E19" w14:textId="16B92428" w:rsidR="00723008" w:rsidRDefault="0072300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Montos informados podrían variar en el marco del cierre de SIGFE del mes de febrero de 2022. </w:t>
      </w:r>
    </w:p>
    <w:p w14:paraId="26D344E2" w14:textId="77777777" w:rsidR="00723008" w:rsidRPr="00723008" w:rsidRDefault="00723008" w:rsidP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f) Nómina de anticipo de fondos concedidos a funcionarios y a proveedores.</w:t>
      </w:r>
    </w:p>
    <w:p w14:paraId="18F5FAC2" w14:textId="77777777" w:rsidR="00723008" w:rsidRDefault="00723008" w:rsidP="0072300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Montos informados podrían variar en el marco del cierre de SIGFE del mes de febrero de 2022. </w:t>
      </w:r>
    </w:p>
    <w:p w14:paraId="64CDE321" w14:textId="057D87CA" w:rsidR="00723008" w:rsidRPr="00723008" w:rsidRDefault="0072300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4. Área Inventario</w:t>
      </w:r>
    </w:p>
    <w:p w14:paraId="0019993A" w14:textId="2FA19495" w:rsidR="00414CC6" w:rsidRPr="00723008" w:rsidRDefault="00414CC6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e) Nómina de contratos con sus respectivos montos.</w:t>
      </w:r>
    </w:p>
    <w:p w14:paraId="2EDF6E64" w14:textId="6017DB89" w:rsidR="00414CC6" w:rsidRDefault="00414CC6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Producto del monto asociado a contratos clasificados como “Otros”, nos se puede ingresar la información al ítem respectivo. Por ello, se informa a continuación: </w:t>
      </w:r>
    </w:p>
    <w:p w14:paraId="0E4E0C1C" w14:textId="1AEC76FC" w:rsidR="00414CC6" w:rsidRDefault="00414CC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Mantención de bienes muebles – 3 contratos – Monto total mensual (M$) 64.040</w:t>
      </w:r>
    </w:p>
    <w:p w14:paraId="14DBFDC9" w14:textId="7C9D5C23" w:rsidR="00414CC6" w:rsidRDefault="00414CC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Mantención de vehículos – 1 contrato – Monto total mensual (M$) 15.000</w:t>
      </w:r>
    </w:p>
    <w:p w14:paraId="3BE4AC91" w14:textId="2D3FBBFC" w:rsidR="00414CC6" w:rsidRDefault="00414CC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Reparación de inmuebles – 0 contrato – Monto total mensual (M$) 0</w:t>
      </w:r>
    </w:p>
    <w:p w14:paraId="1ECC3FBD" w14:textId="4444C076" w:rsidR="00414CC6" w:rsidRDefault="00414CC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lastRenderedPageBreak/>
        <w:t>Seguridad – 9 contratos – Monto total mensual (M$) 503.240</w:t>
      </w:r>
    </w:p>
    <w:p w14:paraId="1C983C0C" w14:textId="6BEFF5CA" w:rsidR="00414CC6" w:rsidRDefault="00414CC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Aseo – 19 contratos – Monto total mensual (M$) 383.</w:t>
      </w:r>
      <w:r w:rsidR="00D05496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438</w:t>
      </w:r>
    </w:p>
    <w:p w14:paraId="6FB52B62" w14:textId="1E0F8234" w:rsidR="00D05496" w:rsidRDefault="00D0549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Informática – 34 contratos – Monto total mensual (M$) 4.916.740</w:t>
      </w:r>
    </w:p>
    <w:p w14:paraId="5402B871" w14:textId="4C5CA2B4" w:rsidR="00D05496" w:rsidRDefault="00D0549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Otros – 359 contratos – Monto total mensual (M$) 3.837.252.563</w:t>
      </w:r>
    </w:p>
    <w:p w14:paraId="18DABBB2" w14:textId="6F5AAB36" w:rsidR="00D05496" w:rsidRDefault="00D05496" w:rsidP="00414CC6">
      <w:pPr>
        <w:pStyle w:val="Prrafodelista"/>
        <w:numPr>
          <w:ilvl w:val="0"/>
          <w:numId w:val="1"/>
        </w:num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Total: 425 contratos – Monto tal mensual (M$) 3.843.135.021</w:t>
      </w:r>
    </w:p>
    <w:p w14:paraId="22E15A3B" w14:textId="7EA6B6CE" w:rsidR="00692088" w:rsidRPr="00723008" w:rsidRDefault="0069208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5. Área Legal</w:t>
      </w:r>
    </w:p>
    <w:p w14:paraId="5CBFFA44" w14:textId="73F7D795" w:rsidR="00692088" w:rsidRPr="00723008" w:rsidRDefault="0069208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b) Proyectos de ley enviados como mensajes desde 2018 actualmente en tramitación.</w:t>
      </w:r>
    </w:p>
    <w:p w14:paraId="0616526A" w14:textId="4625EC49" w:rsidR="00692088" w:rsidRDefault="0069208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No aplica para la institución.</w:t>
      </w:r>
    </w:p>
    <w:p w14:paraId="37E678CC" w14:textId="4747038B" w:rsidR="00692088" w:rsidRPr="00723008" w:rsidRDefault="00692088">
      <w:pPr>
        <w:rPr>
          <w:rFonts w:ascii="gobCL" w:hAnsi="gobCL"/>
          <w:b/>
          <w:bCs/>
          <w:sz w:val="21"/>
          <w:szCs w:val="21"/>
          <w:shd w:val="clear" w:color="auto" w:fill="FFFFFF"/>
        </w:rPr>
      </w:pPr>
      <w:r w:rsidRPr="00723008">
        <w:rPr>
          <w:rFonts w:ascii="gobCL" w:hAnsi="gobCL"/>
          <w:b/>
          <w:bCs/>
          <w:sz w:val="21"/>
          <w:szCs w:val="21"/>
          <w:shd w:val="clear" w:color="auto" w:fill="FFFFFF"/>
        </w:rPr>
        <w:t>c) Listado de juicios pendientes.</w:t>
      </w:r>
    </w:p>
    <w:p w14:paraId="0A5FD659" w14:textId="78905516" w:rsidR="00692088" w:rsidRDefault="0069208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  <w: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El listado de juicios pendientes de JUNAEB alcanza un total de 272. En consideración a la cantidad de información a ingresar a la plataforma y en base a las orientaciones de SEGPRES, se carga </w:t>
      </w:r>
      <w:r w:rsidR="003008D5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 xml:space="preserve">planilla “Listado de juicios pendientes JUNAEB.xlsx” en el punto “Archivo/s” del ítem </w:t>
      </w:r>
      <w:r w:rsidR="003008D5" w:rsidRPr="003008D5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10. Otros antecedentes y Acta de Cierre</w:t>
      </w:r>
      <w:r w:rsidR="003008D5"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  <w:t>.</w:t>
      </w:r>
    </w:p>
    <w:p w14:paraId="32857027" w14:textId="77777777" w:rsidR="003008D5" w:rsidRDefault="003008D5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</w:p>
    <w:p w14:paraId="7DE118E5" w14:textId="77777777" w:rsidR="00692088" w:rsidRPr="00001AC8" w:rsidRDefault="00692088">
      <w:pPr>
        <w:rPr>
          <w:rFonts w:ascii="gobCL" w:hAnsi="gobCL"/>
          <w:b/>
          <w:bCs/>
          <w:color w:val="777777"/>
          <w:sz w:val="21"/>
          <w:szCs w:val="21"/>
          <w:shd w:val="clear" w:color="auto" w:fill="FFFFFF"/>
        </w:rPr>
      </w:pPr>
    </w:p>
    <w:sectPr w:rsidR="00692088" w:rsidRPr="00001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DA5A" w14:textId="77777777" w:rsidR="00042555" w:rsidRDefault="00042555" w:rsidP="008B57DF">
      <w:pPr>
        <w:spacing w:after="0" w:line="240" w:lineRule="auto"/>
      </w:pPr>
      <w:r>
        <w:separator/>
      </w:r>
    </w:p>
  </w:endnote>
  <w:endnote w:type="continuationSeparator" w:id="0">
    <w:p w14:paraId="0C3EFF85" w14:textId="77777777" w:rsidR="00042555" w:rsidRDefault="00042555" w:rsidP="008B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28AE" w14:textId="77777777" w:rsidR="00042555" w:rsidRDefault="00042555" w:rsidP="008B57DF">
      <w:pPr>
        <w:spacing w:after="0" w:line="240" w:lineRule="auto"/>
      </w:pPr>
      <w:r>
        <w:separator/>
      </w:r>
    </w:p>
  </w:footnote>
  <w:footnote w:type="continuationSeparator" w:id="0">
    <w:p w14:paraId="3BBD7F8F" w14:textId="77777777" w:rsidR="00042555" w:rsidRDefault="00042555" w:rsidP="008B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8D7"/>
    <w:multiLevelType w:val="hybridMultilevel"/>
    <w:tmpl w:val="9280DA6E"/>
    <w:lvl w:ilvl="0" w:tplc="4EF6C1AC">
      <w:start w:val="5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C8"/>
    <w:rsid w:val="00001AC8"/>
    <w:rsid w:val="00042555"/>
    <w:rsid w:val="00136281"/>
    <w:rsid w:val="00274D16"/>
    <w:rsid w:val="003008D5"/>
    <w:rsid w:val="00406E62"/>
    <w:rsid w:val="00414CC6"/>
    <w:rsid w:val="004A3BF9"/>
    <w:rsid w:val="00685D21"/>
    <w:rsid w:val="00692088"/>
    <w:rsid w:val="00723008"/>
    <w:rsid w:val="008B57DF"/>
    <w:rsid w:val="00D05496"/>
    <w:rsid w:val="00D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DC3A"/>
  <w15:chartTrackingRefBased/>
  <w15:docId w15:val="{D1C2F9E8-0B92-4F6D-B76D-E7FCCC95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1A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res.cl/597/articles-257190_doc_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res.gob.cl/597/articles-257189_doc_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res.cl/597/articles-257191_doc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Fernanda Garib Bravo</dc:creator>
  <cp:keywords/>
  <dc:description/>
  <cp:lastModifiedBy>Marina Fernanda Garib Bravo</cp:lastModifiedBy>
  <cp:revision>3</cp:revision>
  <dcterms:created xsi:type="dcterms:W3CDTF">2022-03-01T13:44:00Z</dcterms:created>
  <dcterms:modified xsi:type="dcterms:W3CDTF">2022-03-04T15:25:00Z</dcterms:modified>
</cp:coreProperties>
</file>